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DFD1" w14:textId="3D4DF1B4" w:rsidR="0052650F" w:rsidRPr="0052650F" w:rsidRDefault="0052650F" w:rsidP="00886595">
      <w:pPr>
        <w:jc w:val="center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52650F">
        <w:rPr>
          <w:rFonts w:ascii="Arial" w:eastAsia="Times New Roman" w:hAnsi="Arial" w:cs="Arial"/>
          <w:b/>
          <w:color w:val="222222"/>
          <w:sz w:val="20"/>
          <w:szCs w:val="20"/>
        </w:rPr>
        <w:t>QUIÉN ES QUIÉN EN LA EJECUCIÓN PENAL</w:t>
      </w:r>
    </w:p>
    <w:p w14:paraId="53AAE6CF" w14:textId="77777777" w:rsidR="00D742ED" w:rsidRPr="0052650F" w:rsidRDefault="00D742ED" w:rsidP="00D742ED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52650F">
        <w:rPr>
          <w:rFonts w:ascii="Arial" w:hAnsi="Arial" w:cs="Arial"/>
          <w:color w:val="222222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742ED" w:rsidRPr="0052650F" w14:paraId="2B54C2B7" w14:textId="77777777" w:rsidTr="0052650F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7B0C" w14:textId="77777777" w:rsidR="00D742ED" w:rsidRPr="0052650F" w:rsidRDefault="00D742ED" w:rsidP="00D742ED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Tema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721E" w14:textId="39DC209B" w:rsidR="00D742ED" w:rsidRPr="0052650F" w:rsidRDefault="00E4437D" w:rsidP="00752BB6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Modelo de debido proceso </w:t>
            </w:r>
            <w:r w:rsidR="008A1021" w:rsidRPr="0052650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con</w:t>
            </w:r>
            <w:r w:rsidR="00752BB6" w:rsidRPr="0052650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secuente con el sistema </w:t>
            </w:r>
            <w:r w:rsidR="008A1021" w:rsidRPr="0052650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penal adversarial-acusatorio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E547" w14:textId="6179AE62" w:rsidR="00D742ED" w:rsidRPr="0052650F" w:rsidRDefault="00752BB6" w:rsidP="00752BB6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</w:t>
            </w:r>
            <w:r w:rsidR="00DC092D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odelo correccional</w:t>
            </w:r>
            <w:bookmarkStart w:id="0" w:name="_GoBack"/>
            <w:bookmarkEnd w:id="0"/>
            <w:r w:rsidR="001D2ED1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en línea con</w:t>
            </w:r>
            <w:r w:rsidRPr="0052650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el </w:t>
            </w:r>
            <w:r w:rsidR="0096130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sistema </w:t>
            </w:r>
            <w:r w:rsidRPr="0052650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penal inquisitivo </w:t>
            </w:r>
          </w:p>
        </w:tc>
      </w:tr>
      <w:tr w:rsidR="00D742ED" w:rsidRPr="0052650F" w14:paraId="46FD2B68" w14:textId="77777777" w:rsidTr="0052650F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0CDC" w14:textId="77777777" w:rsidR="00D742ED" w:rsidRPr="0052650F" w:rsidRDefault="00D742ED" w:rsidP="00D742ED">
            <w:pPr>
              <w:rPr>
                <w:rFonts w:ascii="Times" w:hAnsi="Times" w:cs="Arial"/>
                <w:b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b/>
                <w:color w:val="222222"/>
                <w:sz w:val="20"/>
                <w:szCs w:val="20"/>
              </w:rPr>
              <w:t> </w:t>
            </w:r>
          </w:p>
          <w:p w14:paraId="433E3F4B" w14:textId="77777777" w:rsidR="00D742ED" w:rsidRPr="0052650F" w:rsidRDefault="00D742ED" w:rsidP="00D742ED">
            <w:pPr>
              <w:jc w:val="both"/>
              <w:rPr>
                <w:rFonts w:ascii="Times" w:hAnsi="Times" w:cs="Arial"/>
                <w:b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b/>
                <w:color w:val="222222"/>
                <w:sz w:val="20"/>
                <w:szCs w:val="20"/>
              </w:rPr>
              <w:t>Controversias a ventilarse ante los jueces de ejecución penal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0540" w14:textId="77777777" w:rsidR="00D742ED" w:rsidRPr="0052650F" w:rsidRDefault="00D742ED" w:rsidP="00D742ED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  <w:p w14:paraId="17AD2255" w14:textId="3FECCCED" w:rsidR="00D742ED" w:rsidRPr="0052650F" w:rsidRDefault="00D742ED" w:rsidP="008A102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Sobre </w:t>
            </w:r>
            <w:r w:rsidR="008A1021" w:rsidRPr="0052650F">
              <w:rPr>
                <w:rFonts w:ascii="Arial" w:hAnsi="Arial" w:cs="Arial"/>
                <w:b/>
                <w:sz w:val="20"/>
                <w:szCs w:val="20"/>
              </w:rPr>
              <w:t>las condiciones de internamiento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>, y</w:t>
            </w:r>
            <w:r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la duración de la pena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(reductivos de la pena)</w:t>
            </w:r>
            <w:r w:rsidRPr="0052650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El expediente de ejecución se abre </w:t>
            </w:r>
            <w:r w:rsidR="002C1715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desde el momento en que 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>la persona privada de la libertad es puesta bajo la responsabilidad de la autoridad ejecutora</w:t>
            </w:r>
            <w:r w:rsidR="00183F5D">
              <w:rPr>
                <w:rFonts w:ascii="Arial" w:hAnsi="Arial" w:cs="Arial"/>
                <w:color w:val="222222"/>
                <w:sz w:val="20"/>
                <w:szCs w:val="20"/>
              </w:rPr>
              <w:t xml:space="preserve"> (no a su disposición). </w:t>
            </w:r>
            <w:r w:rsidR="003060BE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La autoridad ejecutora es considerada un auxiliar de la justicia (Art. 89 Fr. XII constitucional). </w:t>
            </w:r>
          </w:p>
          <w:p w14:paraId="680ACB1A" w14:textId="77777777" w:rsidR="003060BE" w:rsidRPr="0052650F" w:rsidRDefault="003060BE" w:rsidP="008A102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9493C65" w14:textId="0EC9BE0D" w:rsidR="003060BE" w:rsidRPr="0052650F" w:rsidRDefault="003060BE" w:rsidP="008A1021">
            <w:pPr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C7DC" w14:textId="77777777" w:rsidR="00D742ED" w:rsidRPr="0052650F" w:rsidRDefault="00D742ED" w:rsidP="00D742ED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  <w:p w14:paraId="7B65FC3D" w14:textId="7CD7294A" w:rsidR="00D742ED" w:rsidRPr="0052650F" w:rsidRDefault="00D742ED" w:rsidP="00D742ED">
            <w:pPr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color w:val="222222"/>
                <w:sz w:val="20"/>
                <w:szCs w:val="20"/>
              </w:rPr>
              <w:t>Se  </w:t>
            </w:r>
            <w:r w:rsidR="002C1715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centran en los </w:t>
            </w:r>
            <w:r w:rsidR="002C1715" w:rsidRPr="001D2ED1">
              <w:rPr>
                <w:rFonts w:ascii="Arial" w:hAnsi="Arial" w:cs="Arial"/>
                <w:i/>
                <w:color w:val="222222"/>
                <w:sz w:val="20"/>
                <w:szCs w:val="20"/>
              </w:rPr>
              <w:t>beneficios penitenciarios</w:t>
            </w:r>
            <w:r w:rsidR="002C1715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060BE" w:rsidRPr="0052650F">
              <w:rPr>
                <w:rFonts w:ascii="Arial" w:hAnsi="Arial" w:cs="Arial"/>
                <w:color w:val="222222"/>
                <w:sz w:val="20"/>
                <w:szCs w:val="20"/>
              </w:rPr>
              <w:t>(‘jueces de sumas y restas’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  <w:r w:rsidRPr="0052650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El expediente de ejecución se inicia con la sentencia privativa de la libertad.</w:t>
            </w:r>
            <w:r w:rsidR="00E4418F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183F5D">
              <w:rPr>
                <w:rFonts w:ascii="Arial" w:hAnsi="Arial" w:cs="Arial"/>
                <w:color w:val="222222"/>
                <w:sz w:val="20"/>
                <w:szCs w:val="20"/>
              </w:rPr>
              <w:t>Durante la prisión preventiva c</w:t>
            </w:r>
            <w:r w:rsidR="00E4418F" w:rsidRPr="0052650F">
              <w:rPr>
                <w:rFonts w:ascii="Arial" w:hAnsi="Arial" w:cs="Arial"/>
                <w:color w:val="222222"/>
                <w:sz w:val="20"/>
                <w:szCs w:val="20"/>
              </w:rPr>
              <w:t>onfunde la funciones de los jueces de control (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 xml:space="preserve">asegurar el </w:t>
            </w:r>
            <w:r w:rsidR="00E4418F" w:rsidRPr="0052650F">
              <w:rPr>
                <w:rFonts w:ascii="Arial" w:hAnsi="Arial" w:cs="Arial"/>
                <w:color w:val="222222"/>
                <w:sz w:val="20"/>
                <w:szCs w:val="20"/>
              </w:rPr>
              <w:t>‘</w:t>
            </w:r>
            <w:r w:rsidR="00E4418F" w:rsidRPr="0052650F">
              <w:rPr>
                <w:rFonts w:ascii="Arial" w:hAnsi="Arial" w:cs="Arial"/>
                <w:i/>
                <w:color w:val="222222"/>
                <w:sz w:val="20"/>
                <w:szCs w:val="20"/>
              </w:rPr>
              <w:t>fair trial</w:t>
            </w:r>
            <w:r w:rsidR="00E4418F" w:rsidRPr="0052650F">
              <w:rPr>
                <w:rFonts w:ascii="Arial" w:hAnsi="Arial" w:cs="Arial"/>
                <w:color w:val="222222"/>
                <w:sz w:val="20"/>
                <w:szCs w:val="20"/>
              </w:rPr>
              <w:t>’</w:t>
            </w:r>
            <w:r w:rsidR="00E4418F" w:rsidRPr="0052650F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, 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>imponer  medidas cautelares y conducir</w:t>
            </w:r>
            <w:r w:rsid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060BE" w:rsidRPr="0052650F">
              <w:rPr>
                <w:rFonts w:ascii="Arial" w:hAnsi="Arial" w:cs="Arial"/>
                <w:color w:val="222222"/>
                <w:sz w:val="20"/>
                <w:szCs w:val="20"/>
              </w:rPr>
              <w:t>procedimientos abreviados)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>,</w:t>
            </w:r>
            <w:r w:rsidR="003060BE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="00E4418F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con las </w:t>
            </w:r>
            <w:r w:rsidR="003060BE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funciones 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 xml:space="preserve">de los jueces de ejecución como </w:t>
            </w:r>
            <w:r w:rsidR="00E4418F" w:rsidRPr="0052650F">
              <w:rPr>
                <w:rFonts w:ascii="Arial" w:hAnsi="Arial" w:cs="Arial"/>
                <w:color w:val="222222"/>
                <w:sz w:val="20"/>
                <w:szCs w:val="20"/>
              </w:rPr>
              <w:t>garantes de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 xml:space="preserve"> la plena ejecución de</w:t>
            </w:r>
            <w:r w:rsidR="0052650F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183F5D">
              <w:rPr>
                <w:rFonts w:ascii="Arial" w:hAnsi="Arial" w:cs="Arial"/>
                <w:color w:val="222222"/>
                <w:sz w:val="20"/>
                <w:szCs w:val="20"/>
              </w:rPr>
              <w:t xml:space="preserve">todas </w:t>
            </w:r>
            <w:r w:rsidR="003060BE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las resoluciones judiciales </w:t>
            </w:r>
            <w:r w:rsidR="0052650F" w:rsidRPr="0052650F">
              <w:rPr>
                <w:rFonts w:ascii="Arial" w:hAnsi="Arial" w:cs="Arial"/>
                <w:color w:val="222222"/>
                <w:sz w:val="20"/>
                <w:szCs w:val="20"/>
              </w:rPr>
              <w:t>privativas de la libertad</w:t>
            </w:r>
            <w:r w:rsidR="003060BE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</w:p>
          <w:p w14:paraId="6D5A946E" w14:textId="14A4BBEA" w:rsidR="00D742ED" w:rsidRPr="0052650F" w:rsidRDefault="00D742ED" w:rsidP="00D742ED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</w:p>
        </w:tc>
      </w:tr>
      <w:tr w:rsidR="00D742ED" w:rsidRPr="0052650F" w14:paraId="6DF87A32" w14:textId="77777777" w:rsidTr="0052650F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20E6" w14:textId="77777777" w:rsidR="00D742ED" w:rsidRPr="0052650F" w:rsidRDefault="00D742ED" w:rsidP="00D742ED">
            <w:pPr>
              <w:rPr>
                <w:rFonts w:ascii="Times" w:hAnsi="Times" w:cs="Arial"/>
                <w:b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b/>
                <w:color w:val="222222"/>
                <w:sz w:val="20"/>
                <w:szCs w:val="20"/>
              </w:rPr>
              <w:t> </w:t>
            </w:r>
          </w:p>
          <w:p w14:paraId="6A361BE0" w14:textId="4A95ED35" w:rsidR="00D742ED" w:rsidRPr="0052650F" w:rsidRDefault="00D742ED" w:rsidP="001D2ED1">
            <w:pPr>
              <w:rPr>
                <w:rFonts w:ascii="Times" w:hAnsi="Times" w:cs="Arial"/>
                <w:b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Criterios válidos para </w:t>
            </w:r>
            <w:r w:rsidR="008A1021" w:rsidRPr="0052650F">
              <w:rPr>
                <w:rFonts w:ascii="Arial" w:hAnsi="Arial" w:cs="Arial"/>
                <w:b/>
                <w:color w:val="222222"/>
                <w:sz w:val="20"/>
                <w:szCs w:val="20"/>
              </w:rPr>
              <w:t>decidir sobre</w:t>
            </w:r>
            <w:r w:rsidR="00E4437D" w:rsidRPr="0052650F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 la </w:t>
            </w:r>
            <w:r w:rsidR="00183F5D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reducción </w:t>
            </w:r>
            <w:r w:rsidR="00E4437D" w:rsidRPr="0052650F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de las penas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5830" w14:textId="77777777" w:rsidR="00D742ED" w:rsidRPr="0052650F" w:rsidRDefault="00D742ED" w:rsidP="00D742ED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  <w:p w14:paraId="5EBBEDEC" w14:textId="459D4431" w:rsidR="00D742ED" w:rsidRPr="0052650F" w:rsidRDefault="0052650F" w:rsidP="00961302">
            <w:pPr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omportamiento del interno/a.  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La persona es considerada 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 xml:space="preserve">como un/a adulto/a responsable, 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sujeto de derechos y obligaciones. 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Se trata de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verificar o refutar hechos dañosos 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>(</w:t>
            </w:r>
            <w:r w:rsidR="00E4437D" w:rsidRPr="0052650F">
              <w:rPr>
                <w:rFonts w:ascii="Arial" w:hAnsi="Arial" w:cs="Arial"/>
                <w:i/>
                <w:color w:val="222222"/>
                <w:sz w:val="20"/>
                <w:szCs w:val="20"/>
              </w:rPr>
              <w:t>‘no harm, no fault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>’)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; es decir, de</w:t>
            </w:r>
            <w:r w:rsidR="003763A4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juicios sobre la conducta en reclusión: </w:t>
            </w:r>
            <w:r w:rsidR="003763A4" w:rsidRPr="0052650F">
              <w:rPr>
                <w:rFonts w:ascii="Arial" w:hAnsi="Arial" w:cs="Arial"/>
                <w:i/>
                <w:color w:val="222222"/>
                <w:sz w:val="20"/>
                <w:szCs w:val="20"/>
              </w:rPr>
              <w:t>derecho penal de acto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>El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Estado no se entromete en la 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conciencia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de las pers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>onas privadas de la libertad; no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busca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 modelos de excelencia, no asigna consecuencias jurídicas 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 xml:space="preserve">negativas 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al 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 xml:space="preserve">inejercicio 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>de derechos prestacionales, y no utiliza premios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 xml:space="preserve"> (beneficios) 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 o castigos</w:t>
            </w:r>
            <w:r w:rsidR="00886595">
              <w:rPr>
                <w:rFonts w:ascii="Arial" w:hAnsi="Arial" w:cs="Arial"/>
                <w:color w:val="222222"/>
                <w:sz w:val="20"/>
                <w:szCs w:val="20"/>
              </w:rPr>
              <w:t xml:space="preserve"> encubiertos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 xml:space="preserve"> (negativa de beneficios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 para condicionar la autonomía de las personas</w:t>
            </w:r>
            <w:r w:rsidR="00886595">
              <w:rPr>
                <w:rFonts w:ascii="Arial" w:hAnsi="Arial" w:cs="Arial"/>
                <w:color w:val="222222"/>
                <w:sz w:val="20"/>
                <w:szCs w:val="20"/>
              </w:rPr>
              <w:t xml:space="preserve"> presas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 o </w:t>
            </w:r>
            <w:r w:rsidR="00886595">
              <w:rPr>
                <w:rFonts w:ascii="Arial" w:hAnsi="Arial" w:cs="Arial"/>
                <w:color w:val="222222"/>
                <w:sz w:val="20"/>
                <w:szCs w:val="20"/>
              </w:rPr>
              <w:t>alterar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 xml:space="preserve"> su proyecto de vida</w:t>
            </w:r>
            <w:r w:rsidR="00886595">
              <w:rPr>
                <w:rFonts w:ascii="Arial" w:hAnsi="Arial" w:cs="Arial"/>
                <w:color w:val="222222"/>
                <w:sz w:val="20"/>
                <w:szCs w:val="20"/>
              </w:rPr>
              <w:t xml:space="preserve"> más allá de su responsabilidad penal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>, sino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 xml:space="preserve"> exclusivamente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886595">
              <w:rPr>
                <w:rFonts w:ascii="Arial" w:hAnsi="Arial" w:cs="Arial"/>
                <w:color w:val="222222"/>
                <w:sz w:val="20"/>
                <w:szCs w:val="20"/>
              </w:rPr>
              <w:t xml:space="preserve">como herramientas legítimas 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>para garantizar la gobernabilidad</w:t>
            </w:r>
            <w:r w:rsidR="00961302"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>en las prisiones.</w:t>
            </w:r>
            <w:r w:rsidR="00752BB6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5152" w14:textId="77777777" w:rsidR="00D742ED" w:rsidRPr="0052650F" w:rsidRDefault="00D742ED" w:rsidP="00D742ED">
            <w:pPr>
              <w:rPr>
                <w:rFonts w:ascii="Times" w:hAnsi="Times" w:cs="Arial"/>
                <w:color w:val="222222"/>
                <w:sz w:val="20"/>
                <w:szCs w:val="20"/>
              </w:rPr>
            </w:pPr>
            <w:r w:rsidRPr="0052650F"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  <w:p w14:paraId="3D0EE433" w14:textId="34A35F20" w:rsidR="001D2ED1" w:rsidRDefault="00DC092D" w:rsidP="00886595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‘Progreso en el p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>rograma de reinserción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>’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establecido por el centro </w:t>
            </w:r>
            <w:r w:rsidR="003763A4" w:rsidRPr="0052650F">
              <w:rPr>
                <w:rFonts w:ascii="Arial" w:hAnsi="Arial" w:cs="Arial"/>
                <w:color w:val="222222"/>
                <w:sz w:val="20"/>
                <w:szCs w:val="20"/>
              </w:rPr>
              <w:t>penitenciario</w:t>
            </w:r>
            <w:r w:rsid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de acuerdo con 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la </w:t>
            </w:r>
            <w:r w:rsidR="00FB1A05" w:rsidRPr="001D2ED1">
              <w:rPr>
                <w:rFonts w:ascii="Arial" w:hAnsi="Arial" w:cs="Arial"/>
                <w:i/>
                <w:color w:val="222222"/>
                <w:sz w:val="20"/>
                <w:szCs w:val="20"/>
              </w:rPr>
              <w:t>personalidad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 de cada interno, 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>sustentado en   la idea de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1D2ED1">
              <w:rPr>
                <w:rFonts w:ascii="Arial" w:hAnsi="Arial" w:cs="Arial"/>
                <w:color w:val="222222"/>
                <w:sz w:val="20"/>
                <w:szCs w:val="20"/>
              </w:rPr>
              <w:t xml:space="preserve">su 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>‘normalización’,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propia del modelo de ‘reada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>p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>tación social’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 a partir de</w:t>
            </w:r>
            <w:r w:rsidR="00886595">
              <w:rPr>
                <w:rFonts w:ascii="Arial" w:hAnsi="Arial" w:cs="Arial"/>
                <w:color w:val="222222"/>
                <w:sz w:val="20"/>
                <w:szCs w:val="20"/>
              </w:rPr>
              <w:t xml:space="preserve"> su diagnóstico clínico y el 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 p</w:t>
            </w:r>
            <w:r w:rsidR="003763A4" w:rsidRPr="0052650F">
              <w:rPr>
                <w:rFonts w:ascii="Arial" w:hAnsi="Arial" w:cs="Arial"/>
                <w:color w:val="222222"/>
                <w:sz w:val="20"/>
                <w:szCs w:val="20"/>
              </w:rPr>
              <w:t>ronóstico de</w:t>
            </w:r>
            <w:r w:rsid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su</w:t>
            </w:r>
            <w:r w:rsidR="001D2ED1">
              <w:rPr>
                <w:rFonts w:ascii="Arial" w:hAnsi="Arial" w:cs="Arial"/>
                <w:color w:val="222222"/>
                <w:sz w:val="20"/>
                <w:szCs w:val="20"/>
              </w:rPr>
              <w:t xml:space="preserve"> comportamiento</w:t>
            </w:r>
            <w:r w:rsidR="0052650F">
              <w:rPr>
                <w:rFonts w:ascii="Arial" w:hAnsi="Arial" w:cs="Arial"/>
                <w:color w:val="222222"/>
                <w:sz w:val="20"/>
                <w:szCs w:val="20"/>
              </w:rPr>
              <w:t>:</w:t>
            </w:r>
            <w:r w:rsidR="003763A4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763A4" w:rsidRPr="0052650F">
              <w:rPr>
                <w:rFonts w:ascii="Arial" w:hAnsi="Arial" w:cs="Arial"/>
                <w:i/>
                <w:color w:val="222222"/>
                <w:sz w:val="20"/>
                <w:szCs w:val="20"/>
              </w:rPr>
              <w:t>derecho penal de autor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04FB4C35" w14:textId="77777777" w:rsidR="001D2ED1" w:rsidRDefault="001D2ED1" w:rsidP="00886595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673A7C9" w14:textId="7F554314" w:rsidR="00D742ED" w:rsidRPr="0052650F" w:rsidRDefault="0052650F" w:rsidP="00886595">
            <w:pPr>
              <w:jc w:val="both"/>
              <w:rPr>
                <w:rFonts w:ascii="Times" w:hAnsi="Times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>antiene</w:t>
            </w:r>
            <w:r w:rsidR="00752BB6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n 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>los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poderes discrecionales de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la </w:t>
            </w:r>
            <w:r w:rsidR="00D742ED" w:rsidRPr="0052650F">
              <w:rPr>
                <w:rFonts w:ascii="Arial" w:hAnsi="Arial" w:cs="Arial"/>
                <w:color w:val="222222"/>
                <w:sz w:val="20"/>
                <w:szCs w:val="20"/>
              </w:rPr>
              <w:t>autoridad penitenciaria</w:t>
            </w:r>
            <w:r w:rsidR="00E4437D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que se quisieron eliminar con</w:t>
            </w:r>
            <w:r w:rsidR="008A1021" w:rsidRPr="0052650F">
              <w:rPr>
                <w:rFonts w:ascii="Arial" w:hAnsi="Arial" w:cs="Arial"/>
                <w:color w:val="222222"/>
                <w:sz w:val="20"/>
                <w:szCs w:val="20"/>
              </w:rPr>
              <w:t xml:space="preserve"> la judici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alización de la ejecución penal y 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 xml:space="preserve">con </w:t>
            </w:r>
            <w:r w:rsidR="00FB1A05">
              <w:rPr>
                <w:rFonts w:ascii="Arial" w:hAnsi="Arial" w:cs="Arial"/>
                <w:color w:val="222222"/>
                <w:sz w:val="20"/>
                <w:szCs w:val="20"/>
              </w:rPr>
              <w:t xml:space="preserve">el 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 xml:space="preserve">reconocimiento del </w:t>
            </w:r>
            <w:r w:rsidR="00886595">
              <w:rPr>
                <w:rFonts w:ascii="Arial" w:hAnsi="Arial" w:cs="Arial"/>
                <w:color w:val="222222"/>
                <w:sz w:val="20"/>
                <w:szCs w:val="20"/>
              </w:rPr>
              <w:t>carácter instrumental de un  D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 xml:space="preserve">erecho penitenciario </w:t>
            </w:r>
            <w:r w:rsidR="00886595">
              <w:rPr>
                <w:rFonts w:ascii="Arial" w:hAnsi="Arial" w:cs="Arial"/>
                <w:color w:val="222222"/>
                <w:sz w:val="20"/>
                <w:szCs w:val="20"/>
              </w:rPr>
              <w:t xml:space="preserve">sometido en todo momento a los principios rectores </w:t>
            </w:r>
            <w:r w:rsidR="00A930CF">
              <w:rPr>
                <w:rFonts w:ascii="Arial" w:hAnsi="Arial" w:cs="Arial"/>
                <w:color w:val="222222"/>
                <w:sz w:val="20"/>
                <w:szCs w:val="20"/>
              </w:rPr>
              <w:t>del Dere</w:t>
            </w:r>
            <w:r w:rsidR="00886595">
              <w:rPr>
                <w:rFonts w:ascii="Arial" w:hAnsi="Arial" w:cs="Arial"/>
                <w:color w:val="222222"/>
                <w:sz w:val="20"/>
                <w:szCs w:val="20"/>
              </w:rPr>
              <w:t>cho penal y las garantías constitucionales del proceso penal.</w:t>
            </w:r>
          </w:p>
        </w:tc>
      </w:tr>
    </w:tbl>
    <w:p w14:paraId="65E3EE1E" w14:textId="723E616D" w:rsidR="00E4418F" w:rsidRPr="0052650F" w:rsidRDefault="00D742ED" w:rsidP="00D742ED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52650F">
        <w:rPr>
          <w:rFonts w:ascii="Arial" w:hAnsi="Arial" w:cs="Arial"/>
          <w:color w:val="222222"/>
          <w:sz w:val="20"/>
          <w:szCs w:val="20"/>
        </w:rPr>
        <w:t> </w:t>
      </w:r>
    </w:p>
    <w:p w14:paraId="70A7DDF9" w14:textId="5FE2EE46" w:rsidR="00D742ED" w:rsidRPr="00886595" w:rsidRDefault="00E4418F" w:rsidP="00886595">
      <w:pPr>
        <w:shd w:val="clear" w:color="auto" w:fill="FFFFFF"/>
        <w:jc w:val="right"/>
        <w:rPr>
          <w:rFonts w:ascii="Arial" w:hAnsi="Arial" w:cs="Arial"/>
          <w:b/>
          <w:color w:val="222222"/>
          <w:sz w:val="16"/>
          <w:szCs w:val="16"/>
        </w:rPr>
      </w:pPr>
      <w:r w:rsidRPr="00886595">
        <w:rPr>
          <w:rFonts w:ascii="Arial" w:hAnsi="Arial" w:cs="Arial"/>
          <w:b/>
          <w:color w:val="222222"/>
          <w:sz w:val="16"/>
          <w:szCs w:val="16"/>
        </w:rPr>
        <w:t>Miguel Sarre Iguíniz</w:t>
      </w:r>
      <w:r w:rsidR="00886595" w:rsidRPr="00886595">
        <w:rPr>
          <w:rFonts w:ascii="Arial" w:hAnsi="Arial" w:cs="Arial"/>
          <w:b/>
          <w:color w:val="222222"/>
          <w:sz w:val="16"/>
          <w:szCs w:val="16"/>
        </w:rPr>
        <w:t>, 1 de mayo de 2014</w:t>
      </w:r>
    </w:p>
    <w:sectPr w:rsidR="00D742ED" w:rsidRPr="00886595" w:rsidSect="00125F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E"/>
    <w:rsid w:val="00125FAD"/>
    <w:rsid w:val="00183F5D"/>
    <w:rsid w:val="001D2ED1"/>
    <w:rsid w:val="002B5260"/>
    <w:rsid w:val="002C1715"/>
    <w:rsid w:val="002E4390"/>
    <w:rsid w:val="003060BE"/>
    <w:rsid w:val="003763A4"/>
    <w:rsid w:val="0052650F"/>
    <w:rsid w:val="00607EBE"/>
    <w:rsid w:val="00752BB6"/>
    <w:rsid w:val="00886595"/>
    <w:rsid w:val="008A1021"/>
    <w:rsid w:val="00961302"/>
    <w:rsid w:val="00A930CF"/>
    <w:rsid w:val="00D742ED"/>
    <w:rsid w:val="00DC092D"/>
    <w:rsid w:val="00E4418F"/>
    <w:rsid w:val="00E4437D"/>
    <w:rsid w:val="00FB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EF2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7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742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7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7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2244</Characters>
  <Application>Microsoft Macintosh Word</Application>
  <DocSecurity>0</DocSecurity>
  <Lines>18</Lines>
  <Paragraphs>5</Paragraphs>
  <ScaleCrop>false</ScaleCrop>
  <Company>Home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Sarre Iguíniz</dc:creator>
  <cp:keywords/>
  <dc:description/>
  <cp:lastModifiedBy>Miguel Sarre Iguíniz</cp:lastModifiedBy>
  <cp:revision>2</cp:revision>
  <dcterms:created xsi:type="dcterms:W3CDTF">2014-05-02T16:56:00Z</dcterms:created>
  <dcterms:modified xsi:type="dcterms:W3CDTF">2014-05-02T16:56:00Z</dcterms:modified>
</cp:coreProperties>
</file>